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Таможенные платежи в различных таможенных процедурах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9E598C" w:rsidRDefault="009E59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AB63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6392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7E6725" w:rsidRDefault="009E598C" w:rsidP="009E598C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077D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4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8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8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8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8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9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10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11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D75436" w:rsidRDefault="00492F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077D8E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077D8E">
              <w:rPr>
                <w:noProof/>
                <w:webHidden/>
              </w:rPr>
            </w:r>
            <w:r w:rsidR="00077D8E">
              <w:rPr>
                <w:noProof/>
                <w:webHidden/>
              </w:rPr>
              <w:fldChar w:fldCharType="separate"/>
            </w:r>
            <w:r w:rsidR="000E2323">
              <w:rPr>
                <w:noProof/>
                <w:webHidden/>
              </w:rPr>
              <w:t>13</w:t>
            </w:r>
            <w:r w:rsidR="00077D8E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077D8E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0E2323" w:rsidRPr="000E2323" w:rsidRDefault="000E2323" w:rsidP="000E232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0E23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порядка взимания таможенных платежей в различных таможенных процедурах, включая изучение условий предоставления льгот по уплате таможенных платежей, установленных правом ЕАЭС, международными договорами и законодательством РФ.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0E232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Таможенные платежи в различных таможенных процедурах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3120"/>
        <w:gridCol w:w="4815"/>
      </w:tblGrid>
      <w:tr w:rsidR="00751095" w:rsidRPr="000E2323" w:rsidTr="000E2323">
        <w:trPr>
          <w:trHeight w:val="848"/>
          <w:tblHeader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E23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E23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0E23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E23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0E23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E23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0E23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E2323" w:rsidTr="000E2323"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E23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исчисления, полноты и своевременности уплаты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E23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E2323">
              <w:rPr>
                <w:rFonts w:ascii="Times New Roman" w:hAnsi="Times New Roman" w:cs="Times New Roman"/>
                <w:lang w:bidi="ru-RU"/>
              </w:rPr>
              <w:t>ПК-5.2 - Рассчитывает таможенные пошлины, налоги, таможенные сборы, антидемпинговые, компенсационные и специальные пошлины, пени, проценты и иные платежи, взимание которых возложено на таможенные органы, определяет размер обеспечения исполнения обязанности по уплате таможенных платежей, оформляет таможенные документы в подтверждении принятия такого обеспечения, применяет меры по взысканию задолженности по уплате таможенных платежей; применяет правовые и методические основы исчисления, полноты и своевременности уплаты таможенных платежей</w:t>
            </w:r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0E23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E2323">
              <w:rPr>
                <w:rFonts w:ascii="Times New Roman" w:hAnsi="Times New Roman" w:cs="Times New Roman"/>
              </w:rPr>
              <w:t>порядок контроля таможенной стоимости; правила оформления и выставления требования об уплате таможенных платежей и порядок взыскания таможенных платежей; порядок возврата таможенных пошлин, налогов, авансовых платежей и денежного залога.</w:t>
            </w:r>
            <w:r w:rsidRPr="000E232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0E23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E2323">
              <w:rPr>
                <w:rFonts w:ascii="Times New Roman" w:hAnsi="Times New Roman" w:cs="Times New Roman"/>
              </w:rPr>
              <w:t>определять порядок расчета таможенных пошлин и налогов, в том числе специальных защитных, антидемпинговых и компенсационных, применения льгот и преференций при помещении товаров через таможенную границу в зависимости от таможенной процедуры, а также обоснованность и документальное подтверждение их применения</w:t>
            </w:r>
            <w:r w:rsidRPr="000E2323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0E23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E23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E2323">
              <w:rPr>
                <w:rFonts w:ascii="Times New Roman" w:hAnsi="Times New Roman" w:cs="Times New Roman"/>
              </w:rPr>
              <w:t>навыками определения суммы таможенных платежей при различных таможенных процедурах, осуществления контроля за обоснованностью предоставления льгот, выявления нарушений таможенного законодательства при использовании товаров, заявленных под определенные таможенные процедуры, полнотой и сроками уплаты таможенных платежей в различных таможенных процедурах в случае возникновения обязанности по их уплате</w:t>
            </w:r>
            <w:r w:rsidRPr="000E2323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AB63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таможенного налогообложения при помещении товаров под различные таможенные процедуры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перечень таможенных процедур, применяемых при перемещении товаров через таможенную границу, особенности применения таможенных пошлин, налогов и сборов при помещении товаров, под различные таможенные процедуры и перечень лиц, у которых может возникнуть обязанность по уплате таможенных платежей на различных этапах перемещения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Порядок исчисления и уплаты таможенных пошлин и налогов и основания для предоставления льгот по их уплате при помещении товаров под процедуры выпуска для внутреннего потребления и экспорта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порядок расчета таможенных пошлин и налогов, в том числе специальных защитных, антидемпинговых и компенсационных, применения льгот и преференций при помещении товаров под процедуру выпуска для внутреннего потребления, а также обоснованность и документальное подтверждение их применения.  Рассматриваются момент возникновения и случаи прекращения обязанности по уплате таможенных платежей при помещении товаров под данную таможенную процедуру, в том числе особенности в случае выпуска товара до подачи декларации. Рассматривается порядок расчета таможенных пошлин и налогов при применении процедуры экспорта, в том числе при помещении под данную процедуру сырой нефти и товаров, выработанных из нефти. Рассматриваются момент возникновения и случаи прекращения обязанности по уплате таможенных платежей при помещении товаров под данную таможенную процедуру, а также обоснованность и документальное подтверждение тарифных льгот, применяемых в отношении товаров, помещенных под процедуру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Порядок предоставления льгот, возникновение и прекращение обязанности по уплате таможенных платежей при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помещении товаров под процедуры переработки на таможенной территории, вне таможенной территории и переработки для внутреннего потребления, и сроки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Рассматривается, перечень документов, необходимый для подтверждения предоставления льгот при помещении товаров под процедуры переработки. Случаи возникновения и прекращения обязанности по уплате таможенных платежей при помещении товаров под данные процедуры, сроки их уплаты, а также особенности исчисления и уплаты таможенных платежей, в том числе </w:t>
            </w:r>
            <w:r w:rsidRPr="00352B6F">
              <w:rPr>
                <w:lang w:bidi="ru-RU"/>
              </w:rPr>
              <w:lastRenderedPageBreak/>
              <w:t>специальных защитных, антидемпинговых и компенсационных пошлин при: - помещении продуктов переработки товаров после процедуры переработки на таможенной территории под процедуру выпуска для внутреннего потребления; - помещения продуктов переработки после процедуры переработки вне таможенной территории под процедуру выпуска для внутреннего потребления; - помещения продуктов переработки и отходов и остатков после процедуры переработки для внутреннего потребления под процедуру выпуска для внутреннего потребления. Особенности исчисления вывозных таможенных пошлин и налогов в отношении товаров не подвергшихся переработке вне таможенной территории при их помещении под процедуру экспорта.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предоставления льгот, возникновение и прекращение обязанности по уплате таможенных платежей у различных категорий плательщиков и сроки их уплаты при помещении товаров под процедуры таможенного транзита и таможенного склада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случаи возникновения и прекращения обязанности по уплате таможенных платежей у различных категорий плательщиков (декларантов, перевозчиков и др.) при помещении товаров под процедуру таможенного транзита, в том числе особенности исчисления и сроки уплаты сумм, подлежащих уплате, а также особенности расчета и подтверждения внесения сумм обеспечения уплаты таможенных платежей при перемещении товаров по процедуре таможенного транзита.  Также рассматриваются случаи возникновения и прекращения обязанности по уплате вывозных таможенных пошлин в отношении товаров Союза, перевозимых (транспортируемых) с одной части таможенной территории Союза на другую часть таможенной территории Союза через территории государств, не являющихся членами Союза, и (или) морем, помещаемых под таможенную процедуру таможенного транзита. Рассматриваются случаи возникновения и прекращения обязанности по уплате таможенных платежей у разных категорий плательщиков (декларанта, владельца склада) при помещении товаров под процедуру таможенного склада, порядок их исчисления и сроки уплаты.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Порядок предоставления льгот, возникновение и прекращение обязанности по уплате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таможенных платежей и сроки их уплаты при помещении товаров под процедуры свободной таможенной зоны и свободного склада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Рассматриваются случаи возникновения и прекращения обязанности по уплате таможенных платежей, в том числе специальных защитных, антидемпинговых и компенсационных пошлин при помещении товаров под процедуры свободной таможенной зоны, в том числе портовой и под процедуру </w:t>
            </w:r>
            <w:r w:rsidRPr="00352B6F">
              <w:rPr>
                <w:lang w:bidi="ru-RU"/>
              </w:rPr>
              <w:lastRenderedPageBreak/>
              <w:t>свободного склада а также сроки их уплаты и порядок исчисления. Также рассматриваются особенности исчисления и уплаты таможенных платежей в отношении иностранных товаров, помещенных по процедуру свободной таможенной зоны или свободного склада и товаров, изготовленных из товаров ранее помещенных под данные процедуры под иные таможенные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исчисления таможенных платежей при помещении товаров под процедуры временного ввоза (допуска) и временного вывоза. Порядок предоставления льгот по уплате таможенных платежей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особенности предоставления полного и частичного освобождения от уплаты таможенных пошлин и налогов при помещении товаров под процедуру временного ввоза (допуска) и особенности исчисления таможенных пошлин и налогов, в том числе специальных защитных, антидемпинговых и компенсационных при помещении товаров ранее, помещенных под процедуру временного ввоза под процедуру выпуска для внутреннего потребления. Рассматриваются основания и документальное подтверждение льгот при вывозе товаров по процедуре временного вывоза и особенности исчисления таможенных пошлин и налогов при помещении товаров, ранее помещенных под процедуру временного вывоза под процедуру экспорта, в том числе при прекращении действия данной процедуры. Также рассматриваются случаи возникновения и прекращения обязанности по уплате таможенных платежей, особенности расчета сумм, подлежащих уплате и сроки уплаты при помещении товаров под процедуры временного ввоза и временного вывоза товаров и особенности исчисления сумм обеспечения при выпуске товаров под данные таможенные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Порядок предоставления льгот по оплате и основания для возврата ранее оплаченных платежей при помещении товаров под процедуры реимпорта и реэкспорта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Рассматриваются сроки и основания возврата ранее уплаченных таможенных платежей при экспорте товара при помещении товаров под процедуру реимпорта, при условии соблюдения установленных требований к ранее вывезенным товарам, при ввозе товаров с территории свободного склада или свободной таможенной зоны на остальную часть территории Союза и при перемещении товаров трубопроводным транспортом, а также при особенностях декларирования (неполном таможенном декларировании, периодическом таможенном декларировании и при перемещении товаров в несобранном, некомплектном виде) в течение установленных сроков. Рассматриваются случаи возникновения и прекращения обязанности по уплате таможенных платежей, </w:t>
            </w:r>
            <w:r w:rsidRPr="00352B6F">
              <w:rPr>
                <w:lang w:bidi="ru-RU"/>
              </w:rPr>
              <w:lastRenderedPageBreak/>
              <w:t>особенности исчисления и сроки уплаты таможенных пошлин и налогов при помещении товаров под процедуру реэкспорта, а также случаи и основания возврата ранее уплаченных ввозных таможенных пошлин.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Порядок предоставления льгот, возникновение и прекращение обязанности по уплате таможенных платежей и сроки их оплаты при помещении товаров под процедуру магазина беспошлинной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основания предоставления льгот при помещении товаров под процедуру магазина беспошлинной торговли, связанные с условиями данной таможенной процедуры и их документальное подтверждение, а также случаи возникновения и прекращения обязанности по уплате таможенных платежей, особенности их исчисления и сроки уплаты.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Возникновение и прекращение обязанности по уплате таможенных платежей и сроки их уплаты при помещении под таможенные процедуры товаров, перемещаемых через таможенную границу незаконно и с недостоверным декларированием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случаи возникновения и прекращения обязанности по уплате ввозных и вывозных таможенных пошлин и налогов при незаконном перемещении товаров, в том числе с недостоверным декларированием, порядок исчисления и сроки уплаты таможенных платежей, а также случаи возврата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0E2323" w:rsidRDefault="000E232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0E2323" w:rsidRDefault="000E232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0E2323" w:rsidRDefault="000E232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0E2323" w:rsidRPr="005B37A7" w:rsidRDefault="000E232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7"/>
        <w:gridCol w:w="3630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AB63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6392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Тимофеева, Е. Ю. Таможенные платежи : учебное пособие для вузов / Е. Ю. Тимофеева ; под редакцией Т. С. Кулаковой. — 2-е изд. — Санкт-Петербург : Интермедия, 2019. — 432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B6392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6392">
              <w:rPr>
                <w:rFonts w:ascii="Times New Roman" w:hAnsi="Times New Roman" w:cs="Times New Roman"/>
                <w:sz w:val="24"/>
                <w:szCs w:val="24"/>
              </w:rPr>
              <w:t xml:space="preserve"> 978-5-4383-0091-5.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AB6392" w:rsidRDefault="00492F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w:history="1">
              <w:r w:rsidR="00984247">
                <w:rPr>
                  <w:color w:val="00008B"/>
                  <w:u w:val="single"/>
                </w:rPr>
                <w:t xml:space="preserve">http://www.iprbookshop.ru/82295.html 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AB63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6392">
              <w:rPr>
                <w:rFonts w:ascii="Times New Roman" w:hAnsi="Times New Roman" w:cs="Times New Roman"/>
                <w:sz w:val="24"/>
                <w:szCs w:val="24"/>
              </w:rPr>
              <w:t xml:space="preserve">Сенотрусова, С. В.  Таможенные платежи : учебник для вузов / С. В. Сенотрусова, В. Г. Свинухов. — Москва : Издательство Юрайт, 2020. — 236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6392">
              <w:rPr>
                <w:rFonts w:ascii="Times New Roman" w:hAnsi="Times New Roman" w:cs="Times New Roman"/>
                <w:sz w:val="24"/>
                <w:szCs w:val="24"/>
              </w:rPr>
              <w:t xml:space="preserve"> 978-5-534-13430-8.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AB6392" w:rsidRDefault="00492F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https://urait.ru/book/tamozhennye-platezhi-459094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492F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E2323" w:rsidTr="008416EB">
        <w:tc>
          <w:tcPr>
            <w:tcW w:w="7797" w:type="dxa"/>
            <w:shd w:val="clear" w:color="auto" w:fill="auto"/>
          </w:tcPr>
          <w:p w:rsidR="002C735C" w:rsidRPr="000E23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23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0E23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E23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E2323" w:rsidTr="008416EB">
        <w:tc>
          <w:tcPr>
            <w:tcW w:w="7797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0E2323">
              <w:rPr>
                <w:sz w:val="22"/>
                <w:szCs w:val="22"/>
                <w:lang w:val="en-US"/>
              </w:rPr>
              <w:t>HP</w:t>
            </w:r>
            <w:r w:rsidRPr="000E2323">
              <w:rPr>
                <w:sz w:val="22"/>
                <w:szCs w:val="22"/>
              </w:rPr>
              <w:t xml:space="preserve"> 250 </w:t>
            </w:r>
            <w:r w:rsidRPr="000E2323">
              <w:rPr>
                <w:sz w:val="22"/>
                <w:szCs w:val="22"/>
                <w:lang w:val="en-US"/>
              </w:rPr>
              <w:t>G</w:t>
            </w:r>
            <w:r w:rsidRPr="000E2323">
              <w:rPr>
                <w:sz w:val="22"/>
                <w:szCs w:val="22"/>
              </w:rPr>
              <w:t>6 1</w:t>
            </w:r>
            <w:r w:rsidRPr="000E2323">
              <w:rPr>
                <w:sz w:val="22"/>
                <w:szCs w:val="22"/>
                <w:lang w:val="en-US"/>
              </w:rPr>
              <w:t>WY</w:t>
            </w:r>
            <w:r w:rsidRPr="000E2323">
              <w:rPr>
                <w:sz w:val="22"/>
                <w:szCs w:val="22"/>
              </w:rPr>
              <w:t>58</w:t>
            </w:r>
            <w:r w:rsidRPr="000E2323">
              <w:rPr>
                <w:sz w:val="22"/>
                <w:szCs w:val="22"/>
                <w:lang w:val="en-US"/>
              </w:rPr>
              <w:t>EA</w:t>
            </w:r>
            <w:r w:rsidRPr="000E2323">
              <w:rPr>
                <w:sz w:val="22"/>
                <w:szCs w:val="22"/>
              </w:rPr>
              <w:t xml:space="preserve">, Мультимедийный проектор </w:t>
            </w:r>
            <w:r w:rsidRPr="000E2323">
              <w:rPr>
                <w:sz w:val="22"/>
                <w:szCs w:val="22"/>
                <w:lang w:val="en-US"/>
              </w:rPr>
              <w:t>LG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PF</w:t>
            </w:r>
            <w:r w:rsidRPr="000E2323">
              <w:rPr>
                <w:sz w:val="22"/>
                <w:szCs w:val="22"/>
              </w:rPr>
              <w:t>1500</w:t>
            </w:r>
            <w:r w:rsidRPr="000E2323">
              <w:rPr>
                <w:sz w:val="22"/>
                <w:szCs w:val="22"/>
                <w:lang w:val="en-US"/>
              </w:rPr>
              <w:t>G</w:t>
            </w:r>
            <w:r w:rsidRPr="000E23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E23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2323" w:rsidTr="008416EB">
        <w:tc>
          <w:tcPr>
            <w:tcW w:w="7797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0E2323">
              <w:rPr>
                <w:sz w:val="22"/>
                <w:szCs w:val="22"/>
                <w:lang w:val="en-US"/>
              </w:rPr>
              <w:t>Acer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Aspire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Z</w:t>
            </w:r>
            <w:r w:rsidRPr="000E2323">
              <w:rPr>
                <w:sz w:val="22"/>
                <w:szCs w:val="22"/>
              </w:rPr>
              <w:t xml:space="preserve">1811 </w:t>
            </w:r>
            <w:r w:rsidRPr="000E2323">
              <w:rPr>
                <w:sz w:val="22"/>
                <w:szCs w:val="22"/>
                <w:lang w:val="en-US"/>
              </w:rPr>
              <w:t>Intel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Core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i</w:t>
            </w:r>
            <w:r w:rsidRPr="000E2323">
              <w:rPr>
                <w:sz w:val="22"/>
                <w:szCs w:val="22"/>
              </w:rPr>
              <w:t>5-2400</w:t>
            </w:r>
            <w:r w:rsidRPr="000E2323">
              <w:rPr>
                <w:sz w:val="22"/>
                <w:szCs w:val="22"/>
                <w:lang w:val="en-US"/>
              </w:rPr>
              <w:t>S</w:t>
            </w:r>
            <w:r w:rsidRPr="000E2323">
              <w:rPr>
                <w:sz w:val="22"/>
                <w:szCs w:val="22"/>
              </w:rPr>
              <w:t>@2.50</w:t>
            </w:r>
            <w:r w:rsidRPr="000E2323">
              <w:rPr>
                <w:sz w:val="22"/>
                <w:szCs w:val="22"/>
                <w:lang w:val="en-US"/>
              </w:rPr>
              <w:t>GHz</w:t>
            </w:r>
            <w:r w:rsidRPr="000E2323">
              <w:rPr>
                <w:sz w:val="22"/>
                <w:szCs w:val="22"/>
              </w:rPr>
              <w:t>/4</w:t>
            </w:r>
            <w:r w:rsidRPr="000E2323">
              <w:rPr>
                <w:sz w:val="22"/>
                <w:szCs w:val="22"/>
                <w:lang w:val="en-US"/>
              </w:rPr>
              <w:t>Gb</w:t>
            </w:r>
            <w:r w:rsidRPr="000E2323">
              <w:rPr>
                <w:sz w:val="22"/>
                <w:szCs w:val="22"/>
              </w:rPr>
              <w:t>/1</w:t>
            </w:r>
            <w:r w:rsidRPr="000E2323">
              <w:rPr>
                <w:sz w:val="22"/>
                <w:szCs w:val="22"/>
                <w:lang w:val="en-US"/>
              </w:rPr>
              <w:t>Tb</w:t>
            </w:r>
            <w:r w:rsidRPr="000E2323">
              <w:rPr>
                <w:sz w:val="22"/>
                <w:szCs w:val="22"/>
              </w:rPr>
              <w:t xml:space="preserve"> - 1 шт., Мультимедийный проектор </w:t>
            </w:r>
            <w:r w:rsidRPr="000E2323">
              <w:rPr>
                <w:sz w:val="22"/>
                <w:szCs w:val="22"/>
                <w:lang w:val="en-US"/>
              </w:rPr>
              <w:t>NEC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ME</w:t>
            </w:r>
            <w:r w:rsidRPr="000E2323">
              <w:rPr>
                <w:sz w:val="22"/>
                <w:szCs w:val="22"/>
              </w:rPr>
              <w:t>401</w:t>
            </w:r>
            <w:r w:rsidRPr="000E2323">
              <w:rPr>
                <w:sz w:val="22"/>
                <w:szCs w:val="22"/>
                <w:lang w:val="en-US"/>
              </w:rPr>
              <w:t>X</w:t>
            </w:r>
            <w:r w:rsidRPr="000E2323">
              <w:rPr>
                <w:sz w:val="22"/>
                <w:szCs w:val="22"/>
              </w:rPr>
              <w:t xml:space="preserve"> - 1 шт., Акустическая система </w:t>
            </w:r>
            <w:r w:rsidRPr="000E2323">
              <w:rPr>
                <w:sz w:val="22"/>
                <w:szCs w:val="22"/>
                <w:lang w:val="en-US"/>
              </w:rPr>
              <w:t>Hi</w:t>
            </w:r>
            <w:r w:rsidRPr="000E2323">
              <w:rPr>
                <w:sz w:val="22"/>
                <w:szCs w:val="22"/>
              </w:rPr>
              <w:t>-</w:t>
            </w:r>
            <w:r w:rsidRPr="000E2323">
              <w:rPr>
                <w:sz w:val="22"/>
                <w:szCs w:val="22"/>
                <w:lang w:val="en-US"/>
              </w:rPr>
              <w:t>Fi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PRO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MASK</w:t>
            </w:r>
            <w:r w:rsidRPr="000E2323">
              <w:rPr>
                <w:sz w:val="22"/>
                <w:szCs w:val="22"/>
              </w:rPr>
              <w:t>6</w:t>
            </w:r>
            <w:r w:rsidRPr="000E2323">
              <w:rPr>
                <w:sz w:val="22"/>
                <w:szCs w:val="22"/>
                <w:lang w:val="en-US"/>
              </w:rPr>
              <w:t>T</w:t>
            </w:r>
            <w:r w:rsidRPr="000E2323">
              <w:rPr>
                <w:sz w:val="22"/>
                <w:szCs w:val="22"/>
              </w:rPr>
              <w:t>-</w:t>
            </w:r>
            <w:r w:rsidRPr="000E2323">
              <w:rPr>
                <w:sz w:val="22"/>
                <w:szCs w:val="22"/>
                <w:lang w:val="en-US"/>
              </w:rPr>
              <w:t>W</w:t>
            </w:r>
            <w:r w:rsidRPr="000E2323">
              <w:rPr>
                <w:sz w:val="22"/>
                <w:szCs w:val="22"/>
              </w:rPr>
              <w:t xml:space="preserve"> - 2 шт., Экран с электроприводом </w:t>
            </w:r>
            <w:r w:rsidRPr="000E2323">
              <w:rPr>
                <w:sz w:val="22"/>
                <w:szCs w:val="22"/>
                <w:lang w:val="en-US"/>
              </w:rPr>
              <w:t>Draper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Baronet</w:t>
            </w:r>
            <w:r w:rsidRPr="000E2323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0E2323">
              <w:rPr>
                <w:sz w:val="22"/>
                <w:szCs w:val="22"/>
                <w:lang w:val="en-US"/>
              </w:rPr>
              <w:t>Jedia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TA</w:t>
            </w:r>
            <w:r w:rsidRPr="000E2323">
              <w:rPr>
                <w:sz w:val="22"/>
                <w:szCs w:val="22"/>
              </w:rPr>
              <w:t xml:space="preserve">-1120 в комплекте - 1 шт.  Наборы демонстрационного оборудования и </w:t>
            </w:r>
            <w:r w:rsidRPr="000E2323">
              <w:rPr>
                <w:sz w:val="22"/>
                <w:szCs w:val="22"/>
              </w:rPr>
              <w:lastRenderedPageBreak/>
              <w:t>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0E23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2323" w:rsidTr="008416EB">
        <w:tc>
          <w:tcPr>
            <w:tcW w:w="7797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0E2323">
              <w:rPr>
                <w:sz w:val="22"/>
                <w:szCs w:val="22"/>
                <w:lang w:val="en-US"/>
              </w:rPr>
              <w:t>Acer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Aspire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Z</w:t>
            </w:r>
            <w:r w:rsidRPr="000E2323">
              <w:rPr>
                <w:sz w:val="22"/>
                <w:szCs w:val="22"/>
              </w:rPr>
              <w:t xml:space="preserve">1811 </w:t>
            </w:r>
            <w:r w:rsidRPr="000E2323">
              <w:rPr>
                <w:sz w:val="22"/>
                <w:szCs w:val="22"/>
                <w:lang w:val="en-US"/>
              </w:rPr>
              <w:t>Intel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Core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i</w:t>
            </w:r>
            <w:r w:rsidRPr="000E2323">
              <w:rPr>
                <w:sz w:val="22"/>
                <w:szCs w:val="22"/>
              </w:rPr>
              <w:t>5-2400</w:t>
            </w:r>
            <w:r w:rsidRPr="000E2323">
              <w:rPr>
                <w:sz w:val="22"/>
                <w:szCs w:val="22"/>
                <w:lang w:val="en-US"/>
              </w:rPr>
              <w:t>S</w:t>
            </w:r>
            <w:r w:rsidRPr="000E2323">
              <w:rPr>
                <w:sz w:val="22"/>
                <w:szCs w:val="22"/>
              </w:rPr>
              <w:t>@2.50</w:t>
            </w:r>
            <w:r w:rsidRPr="000E2323">
              <w:rPr>
                <w:sz w:val="22"/>
                <w:szCs w:val="22"/>
                <w:lang w:val="en-US"/>
              </w:rPr>
              <w:t>GHz</w:t>
            </w:r>
            <w:r w:rsidRPr="000E2323">
              <w:rPr>
                <w:sz w:val="22"/>
                <w:szCs w:val="22"/>
              </w:rPr>
              <w:t>/4</w:t>
            </w:r>
            <w:r w:rsidRPr="000E2323">
              <w:rPr>
                <w:sz w:val="22"/>
                <w:szCs w:val="22"/>
                <w:lang w:val="en-US"/>
              </w:rPr>
              <w:t>Gb</w:t>
            </w:r>
            <w:r w:rsidRPr="000E2323">
              <w:rPr>
                <w:sz w:val="22"/>
                <w:szCs w:val="22"/>
              </w:rPr>
              <w:t>/1</w:t>
            </w:r>
            <w:r w:rsidRPr="000E2323">
              <w:rPr>
                <w:sz w:val="22"/>
                <w:szCs w:val="22"/>
                <w:lang w:val="en-US"/>
              </w:rPr>
              <w:t>Tb</w:t>
            </w:r>
            <w:r w:rsidRPr="000E2323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0E2323">
              <w:rPr>
                <w:sz w:val="22"/>
                <w:szCs w:val="22"/>
                <w:lang w:val="en-US"/>
              </w:rPr>
              <w:t>NEC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ME</w:t>
            </w:r>
            <w:r w:rsidRPr="000E2323">
              <w:rPr>
                <w:sz w:val="22"/>
                <w:szCs w:val="22"/>
              </w:rPr>
              <w:t>401</w:t>
            </w:r>
            <w:r w:rsidRPr="000E2323">
              <w:rPr>
                <w:sz w:val="22"/>
                <w:szCs w:val="22"/>
                <w:lang w:val="en-US"/>
              </w:rPr>
              <w:t>X</w:t>
            </w:r>
            <w:r w:rsidRPr="000E2323">
              <w:rPr>
                <w:sz w:val="22"/>
                <w:szCs w:val="22"/>
              </w:rPr>
              <w:t xml:space="preserve"> - 1 шт., Экран с электроприводом </w:t>
            </w:r>
            <w:r w:rsidRPr="000E2323">
              <w:rPr>
                <w:sz w:val="22"/>
                <w:szCs w:val="22"/>
                <w:lang w:val="en-US"/>
              </w:rPr>
              <w:t>ScreenMedia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Champion</w:t>
            </w:r>
            <w:r w:rsidRPr="000E2323">
              <w:rPr>
                <w:sz w:val="22"/>
                <w:szCs w:val="22"/>
              </w:rPr>
              <w:t xml:space="preserve"> 244х183см </w:t>
            </w:r>
            <w:r w:rsidRPr="000E2323">
              <w:rPr>
                <w:sz w:val="22"/>
                <w:szCs w:val="22"/>
                <w:lang w:val="en-US"/>
              </w:rPr>
              <w:t>SCM</w:t>
            </w:r>
            <w:r w:rsidRPr="000E2323">
              <w:rPr>
                <w:sz w:val="22"/>
                <w:szCs w:val="22"/>
              </w:rPr>
              <w:t xml:space="preserve">-4304 - 1 шт., Колонки </w:t>
            </w:r>
            <w:r w:rsidRPr="000E2323">
              <w:rPr>
                <w:sz w:val="22"/>
                <w:szCs w:val="22"/>
                <w:lang w:val="en-US"/>
              </w:rPr>
              <w:t>JBL</w:t>
            </w:r>
            <w:r w:rsidRPr="000E2323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0E2323">
              <w:rPr>
                <w:sz w:val="22"/>
                <w:szCs w:val="22"/>
                <w:lang w:val="en-US"/>
              </w:rPr>
              <w:t>JDM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TA</w:t>
            </w:r>
            <w:r w:rsidRPr="000E232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E232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E2323" w:rsidTr="008416EB">
        <w:tc>
          <w:tcPr>
            <w:tcW w:w="7797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E2323">
              <w:rPr>
                <w:sz w:val="22"/>
                <w:szCs w:val="22"/>
                <w:lang w:val="en-US"/>
              </w:rPr>
              <w:t>FOX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MIMO</w:t>
            </w:r>
            <w:r w:rsidRPr="000E2323">
              <w:rPr>
                <w:sz w:val="22"/>
                <w:szCs w:val="22"/>
              </w:rPr>
              <w:t xml:space="preserve"> 4450 2.8</w:t>
            </w:r>
            <w:r w:rsidRPr="000E2323">
              <w:rPr>
                <w:sz w:val="22"/>
                <w:szCs w:val="22"/>
                <w:lang w:val="en-US"/>
              </w:rPr>
              <w:t>Gh</w:t>
            </w:r>
            <w:r w:rsidRPr="000E2323">
              <w:rPr>
                <w:sz w:val="22"/>
                <w:szCs w:val="22"/>
              </w:rPr>
              <w:t>\4</w:t>
            </w:r>
            <w:r w:rsidRPr="000E2323">
              <w:rPr>
                <w:sz w:val="22"/>
                <w:szCs w:val="22"/>
                <w:lang w:val="en-US"/>
              </w:rPr>
              <w:t>gb</w:t>
            </w:r>
            <w:r w:rsidRPr="000E2323">
              <w:rPr>
                <w:sz w:val="22"/>
                <w:szCs w:val="22"/>
              </w:rPr>
              <w:t>\500</w:t>
            </w:r>
            <w:r w:rsidRPr="000E2323">
              <w:rPr>
                <w:sz w:val="22"/>
                <w:szCs w:val="22"/>
                <w:lang w:val="en-US"/>
              </w:rPr>
              <w:t>GB</w:t>
            </w:r>
            <w:r w:rsidRPr="000E2323">
              <w:rPr>
                <w:sz w:val="22"/>
                <w:szCs w:val="22"/>
              </w:rPr>
              <w:t>\</w:t>
            </w:r>
            <w:r w:rsidRPr="000E2323">
              <w:rPr>
                <w:sz w:val="22"/>
                <w:szCs w:val="22"/>
                <w:lang w:val="en-US"/>
              </w:rPr>
              <w:t>DVD</w:t>
            </w:r>
            <w:r w:rsidRPr="000E2323">
              <w:rPr>
                <w:sz w:val="22"/>
                <w:szCs w:val="22"/>
              </w:rPr>
              <w:t>-</w:t>
            </w:r>
            <w:r w:rsidRPr="000E2323">
              <w:rPr>
                <w:sz w:val="22"/>
                <w:szCs w:val="22"/>
                <w:lang w:val="en-US"/>
              </w:rPr>
              <w:t>RW</w:t>
            </w:r>
            <w:r w:rsidRPr="000E2323">
              <w:rPr>
                <w:sz w:val="22"/>
                <w:szCs w:val="22"/>
              </w:rPr>
              <w:t>\21.5\</w:t>
            </w:r>
            <w:r w:rsidRPr="000E2323">
              <w:rPr>
                <w:sz w:val="22"/>
                <w:szCs w:val="22"/>
                <w:lang w:val="en-US"/>
              </w:rPr>
              <w:t>WiFi</w:t>
            </w:r>
            <w:r w:rsidRPr="000E2323">
              <w:rPr>
                <w:sz w:val="22"/>
                <w:szCs w:val="22"/>
              </w:rPr>
              <w:t>\</w:t>
            </w:r>
            <w:r w:rsidRPr="000E2323">
              <w:rPr>
                <w:sz w:val="22"/>
                <w:szCs w:val="22"/>
                <w:lang w:val="en-US"/>
              </w:rPr>
              <w:t>Lan</w:t>
            </w:r>
            <w:r w:rsidRPr="000E2323">
              <w:rPr>
                <w:sz w:val="22"/>
                <w:szCs w:val="22"/>
              </w:rPr>
              <w:t xml:space="preserve"> - 16 шт., Проектор </w:t>
            </w:r>
            <w:r w:rsidRPr="000E2323">
              <w:rPr>
                <w:sz w:val="22"/>
                <w:szCs w:val="22"/>
                <w:lang w:val="en-US"/>
              </w:rPr>
              <w:t>NEC</w:t>
            </w:r>
            <w:r w:rsidRPr="000E2323">
              <w:rPr>
                <w:sz w:val="22"/>
                <w:szCs w:val="22"/>
              </w:rPr>
              <w:t xml:space="preserve"> </w:t>
            </w:r>
            <w:r w:rsidRPr="000E2323">
              <w:rPr>
                <w:sz w:val="22"/>
                <w:szCs w:val="22"/>
                <w:lang w:val="en-US"/>
              </w:rPr>
              <w:t>NP</w:t>
            </w:r>
            <w:r w:rsidRPr="000E2323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0E23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E232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E2323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2323" w:rsidTr="008E189D">
        <w:tc>
          <w:tcPr>
            <w:tcW w:w="562" w:type="dxa"/>
          </w:tcPr>
          <w:p w:rsidR="000E2323" w:rsidRPr="009E598C" w:rsidRDefault="000E2323" w:rsidP="008E18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0E2323" w:rsidRPr="00AB6392" w:rsidRDefault="000E2323" w:rsidP="008E18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3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AB63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63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0E23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E2323" w:rsidTr="00801458">
        <w:tc>
          <w:tcPr>
            <w:tcW w:w="2336" w:type="dxa"/>
          </w:tcPr>
          <w:p w:rsidR="005D65A5" w:rsidRPr="000E2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3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0E2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3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0E2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3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0E23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3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E2323" w:rsidTr="00801458">
        <w:tc>
          <w:tcPr>
            <w:tcW w:w="2336" w:type="dxa"/>
          </w:tcPr>
          <w:p w:rsidR="005D65A5" w:rsidRPr="000E2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E2323" w:rsidTr="00801458">
        <w:tc>
          <w:tcPr>
            <w:tcW w:w="2336" w:type="dxa"/>
          </w:tcPr>
          <w:p w:rsidR="005D65A5" w:rsidRPr="000E2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0E2323" w:rsidTr="00801458">
        <w:tc>
          <w:tcPr>
            <w:tcW w:w="2336" w:type="dxa"/>
          </w:tcPr>
          <w:p w:rsidR="005D65A5" w:rsidRPr="000E23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0E2323" w:rsidRDefault="007478E0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:rsidR="00F56264" w:rsidRPr="000E23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0E232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E23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0E232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E2323" w:rsidRPr="000E2323" w:rsidTr="008E189D">
        <w:tc>
          <w:tcPr>
            <w:tcW w:w="562" w:type="dxa"/>
          </w:tcPr>
          <w:p w:rsidR="000E2323" w:rsidRPr="000E2323" w:rsidRDefault="000E2323" w:rsidP="008E18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0E2323" w:rsidRPr="000E2323" w:rsidRDefault="000E2323" w:rsidP="008E18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E23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0E232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0E23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E232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0E23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E2323" w:rsidTr="00801458">
        <w:tc>
          <w:tcPr>
            <w:tcW w:w="2500" w:type="pct"/>
          </w:tcPr>
          <w:p w:rsidR="00B8237E" w:rsidRPr="000E23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3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0E23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23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E2323" w:rsidTr="00801458">
        <w:tc>
          <w:tcPr>
            <w:tcW w:w="2500" w:type="pct"/>
          </w:tcPr>
          <w:p w:rsidR="00B8237E" w:rsidRPr="000E2323" w:rsidRDefault="00B8237E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0E2323" w:rsidRDefault="005C548A" w:rsidP="00801458">
            <w:pPr>
              <w:rPr>
                <w:rFonts w:ascii="Times New Roman" w:hAnsi="Times New Roman" w:cs="Times New Roman"/>
              </w:rPr>
            </w:pPr>
            <w:r w:rsidRPr="000E23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:rsidR="00C23E7F" w:rsidRPr="000E23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зачет, итоговый </w:t>
      </w:r>
      <w:r w:rsidRPr="00142518">
        <w:rPr>
          <w:rFonts w:ascii="Times New Roman" w:hAnsi="Times New Roman"/>
          <w:sz w:val="28"/>
          <w:szCs w:val="28"/>
        </w:rPr>
        <w:lastRenderedPageBreak/>
        <w:t>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F91" w:rsidRDefault="00492F91" w:rsidP="00315CA6">
      <w:pPr>
        <w:spacing w:after="0" w:line="240" w:lineRule="auto"/>
      </w:pPr>
      <w:r>
        <w:separator/>
      </w:r>
    </w:p>
  </w:endnote>
  <w:endnote w:type="continuationSeparator" w:id="0">
    <w:p w:rsidR="00492F91" w:rsidRDefault="00492F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077D8E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9E598C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F91" w:rsidRDefault="00492F91" w:rsidP="00315CA6">
      <w:pPr>
        <w:spacing w:after="0" w:line="240" w:lineRule="auto"/>
      </w:pPr>
      <w:r>
        <w:separator/>
      </w:r>
    </w:p>
  </w:footnote>
  <w:footnote w:type="continuationSeparator" w:id="0">
    <w:p w:rsidR="00492F91" w:rsidRDefault="00492F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77D8E"/>
    <w:rsid w:val="00090AC1"/>
    <w:rsid w:val="000922F5"/>
    <w:rsid w:val="000A0ED4"/>
    <w:rsid w:val="000A6348"/>
    <w:rsid w:val="000B317E"/>
    <w:rsid w:val="000C5535"/>
    <w:rsid w:val="000E2323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F9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D8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98C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6392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7CAC2"/>
  <w15:docId w15:val="{65818DA6-EC7A-48D5-82A0-C3B0C33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D8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tamozhennye-platezhi-4590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6BDDC-9C23-463B-8396-CFE42F0D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4056</Words>
  <Characters>23124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4</cp:revision>
  <cp:lastPrinted>2021-04-28T14:42:00Z</cp:lastPrinted>
  <dcterms:created xsi:type="dcterms:W3CDTF">2021-05-12T16:57:00Z</dcterms:created>
  <dcterms:modified xsi:type="dcterms:W3CDTF">2026-03-19T17:42:00Z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